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D20C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D20C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D20C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D20C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D20C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D20C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D20C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D20C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D20C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D20C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D20C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D20C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D20C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D20C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D20C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D20C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D20C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394752" w:rsidR="007D1E76" w:rsidRPr="004456C2" w:rsidRDefault="004456C2" w:rsidP="00CB41C4">
      <w:pPr>
        <w:tabs>
          <w:tab w:val="left" w:leader="underscore" w:pos="9639"/>
        </w:tabs>
        <w:spacing w:after="0" w:line="240" w:lineRule="auto"/>
        <w:jc w:val="both"/>
        <w:rPr>
          <w:rFonts w:cs="Calibri"/>
          <w:b/>
          <w:u w:val="single"/>
        </w:rPr>
      </w:pPr>
      <w:r w:rsidRPr="004456C2">
        <w:rPr>
          <w:rFonts w:cs="Calibri"/>
          <w:b/>
          <w:u w:val="single"/>
        </w:rPr>
        <w:t>El Municipio de Tierra Blanca, Guanajuato, es un organismo público de gobierno municipal, encargado de la administración de</w:t>
      </w:r>
      <w:r w:rsidR="00F627A4">
        <w:rPr>
          <w:rFonts w:cs="Calibri"/>
          <w:b/>
          <w:u w:val="single"/>
        </w:rPr>
        <w:t xml:space="preserve">l gobierno municipal, generando las directrices a través de las cuales deberá conducirse el desarrollo social y económico del municipio, así como </w:t>
      </w:r>
      <w:r w:rsidRPr="004456C2">
        <w:rPr>
          <w:rFonts w:cs="Calibri"/>
          <w:b/>
          <w:u w:val="single"/>
        </w:rPr>
        <w:t xml:space="preserve">la hacienda pública en el territorio de su competencia, a través de la gestión y ejecución </w:t>
      </w:r>
      <w:r>
        <w:rPr>
          <w:rFonts w:cs="Calibri"/>
          <w:b/>
          <w:u w:val="single"/>
        </w:rPr>
        <w:t>de recursos para brindar</w:t>
      </w:r>
      <w:r w:rsidRPr="004456C2">
        <w:rPr>
          <w:rFonts w:cs="Calibri"/>
          <w:b/>
          <w:u w:val="single"/>
        </w:rPr>
        <w:t xml:space="preserve"> servicios a la poblaci</w:t>
      </w:r>
      <w:r w:rsidR="00F627A4">
        <w:rPr>
          <w:rFonts w:cs="Calibri"/>
          <w:b/>
          <w:u w:val="single"/>
        </w:rPr>
        <w:t>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6D0A3014" w:rsidR="007D1E76" w:rsidRPr="0073303E" w:rsidRDefault="00F627A4" w:rsidP="00CB41C4">
      <w:pPr>
        <w:tabs>
          <w:tab w:val="left" w:leader="underscore" w:pos="9639"/>
        </w:tabs>
        <w:spacing w:after="0" w:line="240" w:lineRule="auto"/>
        <w:jc w:val="both"/>
        <w:rPr>
          <w:rFonts w:cs="Calibri"/>
          <w:b/>
          <w:u w:val="single"/>
        </w:rPr>
      </w:pPr>
      <w:r w:rsidRPr="0073303E">
        <w:rPr>
          <w:rFonts w:cs="Calibri"/>
          <w:b/>
          <w:u w:val="single"/>
        </w:rPr>
        <w:t>Durante el trimestre octubre a diciembre de 2019, el Municipio de Tierra Blanca operó en un entorno econ</w:t>
      </w:r>
      <w:r w:rsidR="0073303E" w:rsidRPr="0073303E">
        <w:rPr>
          <w:rFonts w:cs="Calibri"/>
          <w:b/>
          <w:u w:val="single"/>
        </w:rPr>
        <w:t>ómico complejo. El efecto de la inflación durante el periodo en algunos de los gastos primordiales del ente, como lo son: combustibles, insumos y otros materiales, así como en los servicios básicos y otros gastos, repercutieron en las finanzas municipales. Asimismo, la proyección al cierre del ejercicio</w:t>
      </w:r>
      <w:r w:rsidR="0073303E">
        <w:rPr>
          <w:rFonts w:cs="Calibri"/>
          <w:b/>
          <w:u w:val="single"/>
        </w:rPr>
        <w:t xml:space="preserve"> 2019 generaba una baja certeza en el</w:t>
      </w:r>
      <w:r w:rsidR="00C41843">
        <w:rPr>
          <w:rFonts w:cs="Calibri"/>
          <w:b/>
          <w:u w:val="single"/>
        </w:rPr>
        <w:t xml:space="preserve"> cumplimiento del</w:t>
      </w:r>
      <w:r w:rsidR="0073303E">
        <w:rPr>
          <w:rFonts w:cs="Calibri"/>
          <w:b/>
          <w:u w:val="single"/>
        </w:rPr>
        <w:t xml:space="preserve"> pronóstico de participaciones</w:t>
      </w:r>
      <w:r w:rsidR="00C41843">
        <w:rPr>
          <w:rFonts w:cs="Calibri"/>
          <w:b/>
          <w:u w:val="single"/>
        </w:rPr>
        <w:t>, derivado de un recorte en el mes de noviembre, mismo que se compensó con la activación del Fondo de Estabilización de Participaciones. Sin embargo, los compromisos del ente hacían necesario la adquisición de un financiamiento adicional, por lo cual se recurrió a la solicitud de un anticipo de participaciones del ejercicio 2020.</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22EB6C74" w:rsidR="007D1E76" w:rsidRPr="00225675" w:rsidRDefault="00225675" w:rsidP="00CB41C4">
      <w:pPr>
        <w:tabs>
          <w:tab w:val="left" w:leader="underscore" w:pos="9639"/>
        </w:tabs>
        <w:spacing w:after="0" w:line="240" w:lineRule="auto"/>
        <w:jc w:val="both"/>
        <w:rPr>
          <w:rFonts w:cs="Calibri"/>
          <w:b/>
          <w:u w:val="single"/>
        </w:rPr>
      </w:pPr>
      <w:r>
        <w:rPr>
          <w:rFonts w:cs="Calibri"/>
          <w:b/>
          <w:u w:val="single"/>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FC20DA5" w:rsidR="007D1E76" w:rsidRPr="00225675" w:rsidRDefault="00225675" w:rsidP="00CB41C4">
      <w:pPr>
        <w:tabs>
          <w:tab w:val="left" w:leader="underscore" w:pos="9639"/>
        </w:tabs>
        <w:spacing w:after="0" w:line="240" w:lineRule="auto"/>
        <w:jc w:val="both"/>
        <w:rPr>
          <w:rFonts w:cs="Calibri"/>
          <w:b/>
          <w:u w:val="single"/>
        </w:rPr>
      </w:pPr>
      <w:r>
        <w:rPr>
          <w:rFonts w:cs="Calibri"/>
          <w:b/>
          <w:u w:val="single"/>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 como lo son: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14:paraId="3ACF74F3" w14:textId="53FBA2F8" w:rsidR="007D1E76" w:rsidRPr="00795A04" w:rsidRDefault="00795A04" w:rsidP="00CB41C4">
      <w:pPr>
        <w:tabs>
          <w:tab w:val="left" w:leader="underscore" w:pos="9639"/>
        </w:tabs>
        <w:spacing w:after="0" w:line="240" w:lineRule="auto"/>
        <w:jc w:val="both"/>
        <w:rPr>
          <w:rFonts w:cs="Calibri"/>
          <w:b/>
          <w:u w:val="single"/>
        </w:rPr>
      </w:pPr>
      <w:r w:rsidRPr="00795A04">
        <w:rPr>
          <w:rFonts w:cs="Calibri"/>
          <w:b/>
          <w:u w:val="single"/>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4AA0FA88" w:rsidR="007D1E76" w:rsidRPr="00795A04" w:rsidRDefault="00C41843" w:rsidP="00CB41C4">
      <w:pPr>
        <w:tabs>
          <w:tab w:val="left" w:leader="underscore" w:pos="9639"/>
        </w:tabs>
        <w:spacing w:after="0" w:line="240" w:lineRule="auto"/>
        <w:jc w:val="both"/>
        <w:rPr>
          <w:rFonts w:cs="Calibri"/>
          <w:b/>
          <w:u w:val="single"/>
        </w:rPr>
      </w:pPr>
      <w:r w:rsidRPr="00795A04">
        <w:rPr>
          <w:rFonts w:cs="Calibri"/>
          <w:b/>
          <w:u w:val="single"/>
        </w:rPr>
        <w:t>Administrar el gobierno municipal y la hacienda pública para brindar los servicios básicos que requiere la población, y marcar las pautas para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46FDD212" w:rsidR="007D1E76" w:rsidRPr="00795A04" w:rsidRDefault="00C41843" w:rsidP="00CB41C4">
      <w:pPr>
        <w:tabs>
          <w:tab w:val="left" w:leader="underscore" w:pos="9639"/>
        </w:tabs>
        <w:spacing w:after="0" w:line="240" w:lineRule="auto"/>
        <w:jc w:val="both"/>
        <w:rPr>
          <w:rFonts w:cs="Calibri"/>
          <w:b/>
          <w:u w:val="single"/>
        </w:rPr>
      </w:pPr>
      <w:r w:rsidRPr="00795A04">
        <w:rPr>
          <w:rFonts w:cs="Calibri"/>
          <w:b/>
          <w:u w:val="single"/>
        </w:rPr>
        <w:t>El ejercicio fiscal actual es enero a diciembre de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260159A" w:rsidR="007D1E76" w:rsidRPr="00795A04" w:rsidRDefault="00C41843" w:rsidP="00CB41C4">
      <w:pPr>
        <w:tabs>
          <w:tab w:val="left" w:leader="underscore" w:pos="9639"/>
        </w:tabs>
        <w:spacing w:after="0" w:line="240" w:lineRule="auto"/>
        <w:jc w:val="both"/>
        <w:rPr>
          <w:rFonts w:cs="Calibri"/>
          <w:b/>
          <w:u w:val="single"/>
        </w:rPr>
      </w:pPr>
      <w:r w:rsidRPr="00795A04">
        <w:rPr>
          <w:rFonts w:cs="Calibri"/>
          <w:b/>
          <w:u w:val="single"/>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5215B117" w:rsidR="007D1E76" w:rsidRPr="00795A04" w:rsidRDefault="00C41843" w:rsidP="00CB41C4">
      <w:pPr>
        <w:tabs>
          <w:tab w:val="left" w:leader="underscore" w:pos="9639"/>
        </w:tabs>
        <w:spacing w:after="0" w:line="240" w:lineRule="auto"/>
        <w:jc w:val="both"/>
        <w:rPr>
          <w:rFonts w:cs="Calibri"/>
          <w:b/>
          <w:u w:val="single"/>
        </w:rPr>
      </w:pPr>
      <w:r w:rsidRPr="00795A04">
        <w:rPr>
          <w:rFonts w:cs="Calibri"/>
          <w:b/>
          <w:u w:val="single"/>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1112161E" w:rsidR="007D1E76" w:rsidRPr="008453F7" w:rsidRDefault="008453F7" w:rsidP="008453F7">
      <w:pPr>
        <w:tabs>
          <w:tab w:val="left" w:leader="underscore" w:pos="9639"/>
        </w:tabs>
        <w:spacing w:after="0" w:line="240" w:lineRule="auto"/>
        <w:jc w:val="both"/>
        <w:rPr>
          <w:rFonts w:cs="Calibri"/>
          <w:b/>
          <w:u w:val="single"/>
        </w:rPr>
      </w:pPr>
      <w:r w:rsidRPr="008453F7">
        <w:rPr>
          <w:rFonts w:cs="Calibri"/>
          <w:b/>
          <w:u w:val="single"/>
        </w:rPr>
        <w:t>En proceso de actualización</w:t>
      </w:r>
    </w:p>
    <w:p w14:paraId="3450C629" w14:textId="3688FBB3" w:rsidR="007D1E76" w:rsidRDefault="007D1E76"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0B0684BB" w:rsidR="007D1E76" w:rsidRPr="00795A04" w:rsidRDefault="00795A04" w:rsidP="00CB41C4">
      <w:pPr>
        <w:tabs>
          <w:tab w:val="left" w:leader="underscore" w:pos="9639"/>
        </w:tabs>
        <w:spacing w:after="0" w:line="240" w:lineRule="auto"/>
        <w:jc w:val="both"/>
        <w:rPr>
          <w:rFonts w:cs="Calibri"/>
          <w:b/>
          <w:u w:val="single"/>
        </w:rPr>
      </w:pPr>
      <w:r w:rsidRPr="00795A04">
        <w:rPr>
          <w:rFonts w:cs="Calibri"/>
          <w:b/>
          <w:u w:val="single"/>
        </w:rPr>
        <w:t xml:space="preserve">Durante el periodo de referencia, </w:t>
      </w:r>
      <w:r w:rsidR="00C41843" w:rsidRPr="00795A04">
        <w:rPr>
          <w:rFonts w:cs="Calibri"/>
          <w:b/>
          <w:u w:val="single"/>
        </w:rPr>
        <w:t xml:space="preserve">el Municipio de Tierra Blanca, Guanajuato, </w:t>
      </w:r>
      <w:r w:rsidRPr="00795A04">
        <w:rPr>
          <w:rFonts w:cs="Calibri"/>
          <w:b/>
          <w:u w:val="single"/>
        </w:rPr>
        <w:t>fungió como parte del Fideicomiso para el Desarrollo Rural (FIDER), con el contrato número 135684-2 a nombre de Gobierno del Estado de Guanajuato / Municipio de Tierra Blanca. De igual manera, dicho fideicomiso está en proceso de extinción.</w:t>
      </w:r>
      <w:r w:rsidR="00C41843" w:rsidRPr="00795A04">
        <w:rPr>
          <w:rFonts w:cs="Calibri"/>
          <w:b/>
          <w:u w:val="single"/>
        </w:rPr>
        <w:t xml:space="preserve"> </w:t>
      </w:r>
    </w:p>
    <w:p w14:paraId="141EC1F1" w14:textId="77777777" w:rsidR="00795A04" w:rsidRDefault="00795A04"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9C11AE1" w:rsidR="007D1E76" w:rsidRPr="00795A04" w:rsidRDefault="00795A04" w:rsidP="00CB41C4">
      <w:pPr>
        <w:tabs>
          <w:tab w:val="left" w:leader="underscore" w:pos="9639"/>
        </w:tabs>
        <w:spacing w:after="0" w:line="240" w:lineRule="auto"/>
        <w:jc w:val="both"/>
        <w:rPr>
          <w:rFonts w:cs="Calibri"/>
          <w:b/>
          <w:u w:val="single"/>
        </w:rPr>
      </w:pPr>
      <w:r w:rsidRPr="00795A04">
        <w:rPr>
          <w:rFonts w:cs="Calibri"/>
          <w:b/>
          <w:u w:val="single"/>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6B2853D2" w:rsidR="007D1E76" w:rsidRPr="00D76C8A" w:rsidRDefault="00D76C8A" w:rsidP="00CB41C4">
      <w:pPr>
        <w:tabs>
          <w:tab w:val="left" w:leader="underscore" w:pos="9639"/>
        </w:tabs>
        <w:spacing w:after="0" w:line="240" w:lineRule="auto"/>
        <w:jc w:val="both"/>
        <w:rPr>
          <w:rFonts w:cs="Calibri"/>
          <w:b/>
          <w:u w:val="single"/>
        </w:rPr>
      </w:pPr>
      <w:r>
        <w:rPr>
          <w:rFonts w:cs="Calibri"/>
          <w:b/>
          <w:u w:val="single"/>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28113EF8"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 xml:space="preserve">SUSTANCIA ECONOMICA Es el reconocimiento contable de las transacciones, transformaciones internas y otros eventos, que afectan económicamente al ente público y delimitan la operación del Sistema de Contabilidad Gubernamental (SCG). </w:t>
      </w:r>
    </w:p>
    <w:p w14:paraId="38A975C7"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8182A49"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EXISTENCIA PERMANENTE La actividad del ente público se establece por tiempo indefinido, salvo disposición legal en la que se especifique lo contrario.</w:t>
      </w:r>
    </w:p>
    <w:p w14:paraId="321B07F0"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REVELACION SUFICIENTE Los estados y la información financiera deben mostrar amplia y claramente la situación financiera y los resultados del ente público.</w:t>
      </w:r>
    </w:p>
    <w:p w14:paraId="520C5EB9"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IMPORTANCIA RELATIVA La información debe mostrar los aspectos importantes de la entidad que fueron reconocidos contablemente.</w:t>
      </w:r>
    </w:p>
    <w:p w14:paraId="3F9AC58F"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2F99DD6F"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3CD0C709"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30708AB3"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VALUACION Todos los eventos que afecten económicamente al ente público deben ser cuantificados en términos monetarios y se registrarán al costo histórico o al valor económico más objetivo registrándose en moneda nacional.</w:t>
      </w:r>
    </w:p>
    <w:p w14:paraId="6885B41D"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C5BBA7D" w14:textId="77777777" w:rsidR="008453F7" w:rsidRPr="008453F7" w:rsidRDefault="008453F7" w:rsidP="008453F7">
      <w:pPr>
        <w:pStyle w:val="Prrafodelista"/>
        <w:numPr>
          <w:ilvl w:val="0"/>
          <w:numId w:val="2"/>
        </w:numPr>
        <w:spacing w:after="160" w:line="259" w:lineRule="auto"/>
        <w:rPr>
          <w:b/>
          <w:u w:val="single"/>
        </w:rPr>
      </w:pPr>
      <w:r w:rsidRPr="008453F7">
        <w:rPr>
          <w:b/>
          <w:u w:val="single"/>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578FFEFB"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lastRenderedPageBreak/>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5858560"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3F526150"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0B4FD613"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54DFC738"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6F4F5732" w:rsidR="007D1E76" w:rsidRPr="00E91C60" w:rsidRDefault="00E91C60" w:rsidP="00CB41C4">
      <w:pPr>
        <w:tabs>
          <w:tab w:val="left" w:leader="underscore" w:pos="9639"/>
        </w:tabs>
        <w:spacing w:after="0" w:line="240" w:lineRule="auto"/>
        <w:jc w:val="both"/>
        <w:rPr>
          <w:rFonts w:cs="Calibri"/>
          <w:b/>
          <w:u w:val="single"/>
        </w:rPr>
      </w:pPr>
      <w:r w:rsidRPr="00E91C60">
        <w:rPr>
          <w:rFonts w:cs="Calibri"/>
          <w:b/>
          <w:u w:val="single"/>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43F9992E"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7FF9DF1"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Actualmente se encuentra en proceso la valuación de inventarios.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4AEA169F" w:rsidR="007D1E76" w:rsidRPr="00E91C60" w:rsidRDefault="00E91C60" w:rsidP="00CB41C4">
      <w:pPr>
        <w:tabs>
          <w:tab w:val="left" w:leader="underscore" w:pos="9639"/>
        </w:tabs>
        <w:spacing w:after="0" w:line="240" w:lineRule="auto"/>
        <w:jc w:val="both"/>
        <w:rPr>
          <w:rFonts w:cs="Calibri"/>
          <w:b/>
          <w:u w:val="single"/>
        </w:rPr>
      </w:pPr>
      <w:r>
        <w:rPr>
          <w:rFonts w:cs="Calibri"/>
          <w:b/>
          <w:u w:val="single"/>
        </w:rPr>
        <w:t>No se cu</w:t>
      </w:r>
      <w:r w:rsidR="00427327">
        <w:rPr>
          <w:rFonts w:cs="Calibri"/>
          <w:b/>
          <w:u w:val="single"/>
        </w:rPr>
        <w:t>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0C6D3547" w:rsidR="007D1E76" w:rsidRPr="00427327" w:rsidRDefault="00427327" w:rsidP="00CB41C4">
      <w:pPr>
        <w:tabs>
          <w:tab w:val="left" w:leader="underscore" w:pos="9639"/>
        </w:tabs>
        <w:spacing w:after="0" w:line="240" w:lineRule="auto"/>
        <w:jc w:val="both"/>
        <w:rPr>
          <w:rFonts w:cs="Calibri"/>
          <w:b/>
        </w:rPr>
      </w:pPr>
      <w:r>
        <w:rPr>
          <w:rFonts w:cs="Calibri"/>
          <w:b/>
        </w:rPr>
        <w:lastRenderedPageBreak/>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D784A69"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5C99CD7"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8326E7E"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29D89362" w:rsidR="007D1E76" w:rsidRPr="00427327" w:rsidRDefault="00427327" w:rsidP="00CB41C4">
      <w:pPr>
        <w:tabs>
          <w:tab w:val="left" w:leader="underscore" w:pos="9639"/>
        </w:tabs>
        <w:spacing w:after="0" w:line="240" w:lineRule="auto"/>
        <w:jc w:val="both"/>
        <w:rPr>
          <w:rFonts w:cs="Calibri"/>
          <w:b/>
        </w:rPr>
      </w:pPr>
      <w:r>
        <w:rPr>
          <w:rFonts w:cs="Calibri"/>
          <w:b/>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66E9793"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No se cuentan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1211307"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C2A16BB"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4E8D357" w:rsidR="007D1E76" w:rsidRPr="00427327" w:rsidRDefault="00427327" w:rsidP="00CB41C4">
      <w:pPr>
        <w:tabs>
          <w:tab w:val="left" w:leader="underscore" w:pos="9639"/>
        </w:tabs>
        <w:spacing w:after="0" w:line="240" w:lineRule="auto"/>
        <w:jc w:val="both"/>
        <w:rPr>
          <w:rFonts w:cs="Calibri"/>
          <w:b/>
          <w:u w:val="single"/>
        </w:rPr>
      </w:pPr>
      <w:r>
        <w:rPr>
          <w:rFonts w:cs="Calibri"/>
          <w:b/>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5E20A05" w:rsidR="007D1E76" w:rsidRPr="00427327" w:rsidRDefault="00427327" w:rsidP="00CB41C4">
      <w:pPr>
        <w:tabs>
          <w:tab w:val="left" w:leader="underscore" w:pos="9639"/>
        </w:tabs>
        <w:spacing w:after="0" w:line="240" w:lineRule="auto"/>
        <w:jc w:val="both"/>
        <w:rPr>
          <w:rFonts w:cs="Calibri"/>
          <w:b/>
        </w:rPr>
      </w:pPr>
      <w:r>
        <w:rPr>
          <w:rFonts w:cs="Calibri"/>
          <w:b/>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66E0E52" w:rsidR="007D1E76" w:rsidRPr="004E150E" w:rsidRDefault="004E150E" w:rsidP="00CB41C4">
      <w:pPr>
        <w:tabs>
          <w:tab w:val="left" w:leader="underscore" w:pos="9639"/>
        </w:tabs>
        <w:spacing w:after="0" w:line="240" w:lineRule="auto"/>
        <w:jc w:val="both"/>
        <w:rPr>
          <w:rFonts w:cs="Calibri"/>
          <w:b/>
          <w:u w:val="single"/>
        </w:rPr>
      </w:pPr>
      <w:r>
        <w:rPr>
          <w:rFonts w:cs="Calibri"/>
          <w:b/>
          <w:u w:val="single"/>
        </w:rPr>
        <w:t>La depreciación se realiza de forma anual al término del ejercicio fiscal, de acuerdo a las tablas y porcentajes establecidos para cada tipo de activo.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36BA14C" w:rsidR="007D1E76" w:rsidRPr="004E150E" w:rsidRDefault="00E16A3D" w:rsidP="00CB41C4">
      <w:pPr>
        <w:tabs>
          <w:tab w:val="left" w:leader="underscore" w:pos="9639"/>
        </w:tabs>
        <w:spacing w:after="0" w:line="240" w:lineRule="auto"/>
        <w:jc w:val="both"/>
        <w:rPr>
          <w:rFonts w:cs="Calibri"/>
          <w:b/>
          <w:u w:val="single"/>
        </w:rPr>
      </w:pPr>
      <w:r>
        <w:rPr>
          <w:rFonts w:cs="Calibri"/>
          <w:b/>
          <w:u w:val="single"/>
        </w:rPr>
        <w:t xml:space="preserve">Los cambios en el porcentaje de depreciación de los activos dependerá de los cambios en </w:t>
      </w:r>
      <w:proofErr w:type="gramStart"/>
      <w:r>
        <w:rPr>
          <w:rFonts w:cs="Calibri"/>
          <w:b/>
          <w:u w:val="single"/>
        </w:rPr>
        <w:t>las</w:t>
      </w:r>
      <w:proofErr w:type="gramEnd"/>
      <w:r>
        <w:rPr>
          <w:rFonts w:cs="Calibri"/>
          <w:b/>
          <w:u w:val="single"/>
        </w:rPr>
        <w:t xml:space="preserve"> políticos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39F5DD8D" w:rsidR="007D1E76" w:rsidRDefault="008453F7" w:rsidP="00CB41C4">
      <w:pPr>
        <w:tabs>
          <w:tab w:val="left" w:leader="underscore" w:pos="9639"/>
        </w:tabs>
        <w:spacing w:after="0" w:line="240" w:lineRule="auto"/>
        <w:jc w:val="both"/>
        <w:rPr>
          <w:rFonts w:cs="Calibri"/>
          <w:b/>
          <w:u w:val="single"/>
        </w:rPr>
      </w:pPr>
      <w:r>
        <w:rPr>
          <w:rFonts w:cs="Calibri"/>
          <w:b/>
          <w:u w:val="single"/>
        </w:rPr>
        <w:t>No aplica</w:t>
      </w:r>
    </w:p>
    <w:p w14:paraId="160E3437" w14:textId="77777777" w:rsidR="008453F7" w:rsidRPr="008453F7" w:rsidRDefault="008453F7" w:rsidP="00CB41C4">
      <w:pPr>
        <w:tabs>
          <w:tab w:val="left" w:leader="underscore" w:pos="9639"/>
        </w:tabs>
        <w:spacing w:after="0" w:line="240" w:lineRule="auto"/>
        <w:jc w:val="both"/>
        <w:rPr>
          <w:rFonts w:cs="Calibri"/>
          <w:b/>
          <w:u w:val="single"/>
        </w:rPr>
      </w:pPr>
      <w:bookmarkStart w:id="8" w:name="_GoBack"/>
      <w:bookmarkEnd w:id="8"/>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2248AC2"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36C7F595"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1D70B2CD"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F9E64D3"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5FA47958"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1BF31FF8"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2FE343E" w14:textId="77777777" w:rsidR="00E16A3D" w:rsidRPr="00E16A3D" w:rsidRDefault="00E16A3D" w:rsidP="00E16A3D">
      <w:pPr>
        <w:tabs>
          <w:tab w:val="left" w:leader="underscore" w:pos="9639"/>
        </w:tabs>
        <w:spacing w:after="0" w:line="240" w:lineRule="auto"/>
        <w:jc w:val="both"/>
        <w:rPr>
          <w:rFonts w:cs="Calibri"/>
          <w:b/>
          <w:u w:val="single"/>
        </w:rPr>
      </w:pPr>
      <w:r>
        <w:rPr>
          <w:rFonts w:cs="Calibri"/>
          <w:b/>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D26FE65" w14:textId="77777777" w:rsidR="00E16A3D" w:rsidRPr="00E16A3D" w:rsidRDefault="00E16A3D" w:rsidP="00E16A3D">
      <w:pPr>
        <w:tabs>
          <w:tab w:val="left" w:leader="underscore" w:pos="9639"/>
        </w:tabs>
        <w:spacing w:after="0" w:line="240" w:lineRule="auto"/>
        <w:jc w:val="both"/>
        <w:rPr>
          <w:rFonts w:cs="Calibri"/>
          <w:b/>
          <w:u w:val="single"/>
        </w:rPr>
      </w:pPr>
      <w:r>
        <w:rPr>
          <w:rFonts w:cs="Calibri"/>
          <w:b/>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BFA5AA8" w14:textId="77777777" w:rsidR="00E16A3D" w:rsidRPr="00E16A3D" w:rsidRDefault="00E16A3D" w:rsidP="00E16A3D">
      <w:pPr>
        <w:tabs>
          <w:tab w:val="left" w:leader="underscore" w:pos="9639"/>
        </w:tabs>
        <w:spacing w:after="0" w:line="240" w:lineRule="auto"/>
        <w:jc w:val="both"/>
        <w:rPr>
          <w:rFonts w:cs="Calibri"/>
          <w:b/>
          <w:u w:val="single"/>
        </w:rPr>
      </w:pPr>
      <w:r>
        <w:rPr>
          <w:rFonts w:cs="Calibri"/>
          <w:b/>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E74C370" w14:textId="77777777" w:rsidR="00E16A3D" w:rsidRPr="00E16A3D" w:rsidRDefault="00E16A3D" w:rsidP="00E16A3D">
      <w:pPr>
        <w:tabs>
          <w:tab w:val="left" w:leader="underscore" w:pos="9639"/>
        </w:tabs>
        <w:spacing w:after="0" w:line="240" w:lineRule="auto"/>
        <w:jc w:val="both"/>
        <w:rPr>
          <w:rFonts w:cs="Calibri"/>
          <w:b/>
          <w:u w:val="single"/>
        </w:rPr>
      </w:pPr>
      <w:r>
        <w:rPr>
          <w:rFonts w:cs="Calibri"/>
          <w:b/>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9A83B63" w:rsidR="007D1E76" w:rsidRPr="00E16A3D" w:rsidRDefault="00E16A3D" w:rsidP="00CB41C4">
      <w:pPr>
        <w:tabs>
          <w:tab w:val="left" w:leader="underscore" w:pos="9639"/>
        </w:tabs>
        <w:spacing w:after="0" w:line="240" w:lineRule="auto"/>
        <w:jc w:val="both"/>
        <w:rPr>
          <w:rFonts w:cs="Calibri"/>
          <w:b/>
          <w:u w:val="single"/>
        </w:rPr>
      </w:pPr>
      <w:r w:rsidRPr="00E16A3D">
        <w:rPr>
          <w:rFonts w:cs="Calibri"/>
          <w:b/>
          <w:u w:val="single"/>
        </w:rPr>
        <w:t>Se cuenta con el Fideicomiso para el Desarrollo Rural (FIDER), el cual está enfocado en inversión en acciones de obra pública.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7D45D492"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Fideicomiso para el Desarrollo Rural (FIDER).</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304E49B" w:rsidR="007D1E76" w:rsidRPr="00E16A3D" w:rsidRDefault="00E16A3D" w:rsidP="00CB41C4">
      <w:pPr>
        <w:tabs>
          <w:tab w:val="left" w:leader="underscore" w:pos="9639"/>
        </w:tabs>
        <w:spacing w:after="0" w:line="240" w:lineRule="auto"/>
        <w:jc w:val="both"/>
        <w:rPr>
          <w:rFonts w:cs="Calibri"/>
          <w:b/>
          <w:u w:val="single"/>
        </w:rPr>
      </w:pPr>
      <w:r>
        <w:rPr>
          <w:rFonts w:cs="Calibri"/>
          <w:b/>
          <w:u w:val="single"/>
        </w:rPr>
        <w:t xml:space="preserve">Durante el trimestre de referencia, </w:t>
      </w:r>
      <w:r w:rsidR="00BE3357">
        <w:rPr>
          <w:rFonts w:cs="Calibri"/>
          <w:b/>
          <w:u w:val="single"/>
        </w:rPr>
        <w:t xml:space="preserve">los ingresos propios tuvieron </w:t>
      </w:r>
      <w:proofErr w:type="gramStart"/>
      <w:r w:rsidR="00BE3357">
        <w:rPr>
          <w:rFonts w:cs="Calibri"/>
          <w:b/>
          <w:u w:val="single"/>
        </w:rPr>
        <w:t>una</w:t>
      </w:r>
      <w:proofErr w:type="gramEnd"/>
      <w:r w:rsidR="00BE3357">
        <w:rPr>
          <w:rFonts w:cs="Calibri"/>
          <w:b/>
          <w:u w:val="single"/>
        </w:rPr>
        <w:t xml:space="preserve"> alza en su recaudación, debido a la ejecución de eventos en el municipio. Asimismo, los ingresos por participaciones se mostraron con inestabilidad, aunque al final se cumplieron los pronósticos gracias a la activación del fondo de estabilización de participaciones. Las aportaciones de Ramo 33 se recibieron conforme </w:t>
      </w:r>
      <w:proofErr w:type="spellStart"/>
      <w:r w:rsidR="00BE3357">
        <w:rPr>
          <w:rFonts w:cs="Calibri"/>
          <w:b/>
          <w:u w:val="single"/>
        </w:rPr>
        <w:t>a</w:t>
      </w:r>
      <w:proofErr w:type="spellEnd"/>
      <w:r w:rsidR="00BE3357">
        <w:rPr>
          <w:rFonts w:cs="Calibri"/>
          <w:b/>
          <w:u w:val="single"/>
        </w:rPr>
        <w:t xml:space="preserve"> calendario.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4D332873" w:rsidR="007D1E76" w:rsidRPr="00C9030C" w:rsidRDefault="00C9030C" w:rsidP="00CB41C4">
      <w:pPr>
        <w:tabs>
          <w:tab w:val="left" w:leader="underscore" w:pos="9639"/>
        </w:tabs>
        <w:spacing w:after="0" w:line="240" w:lineRule="auto"/>
        <w:jc w:val="both"/>
        <w:rPr>
          <w:rFonts w:cs="Calibri"/>
          <w:b/>
          <w:u w:val="single"/>
        </w:rPr>
      </w:pPr>
      <w:r>
        <w:rPr>
          <w:rFonts w:cs="Calibri"/>
          <w:b/>
          <w:u w:val="single"/>
        </w:rPr>
        <w:t>En el mediano y largo plazo, se espera una recaudación de ingresos propios alta debido al inicio de año, especialmente por el concepto de impuesto predial, asimismo, se espera un comportamiento estable de las participa</w:t>
      </w:r>
      <w:r w:rsidR="008E5B4C">
        <w:rPr>
          <w:rFonts w:cs="Calibri"/>
          <w:b/>
          <w:u w:val="single"/>
        </w:rPr>
        <w:t xml:space="preserve">ciones federales del ramo 28, y la ministración de ramo 33 conforme </w:t>
      </w:r>
      <w:proofErr w:type="spellStart"/>
      <w:r w:rsidR="008E5B4C">
        <w:rPr>
          <w:rFonts w:cs="Calibri"/>
          <w:b/>
          <w:u w:val="single"/>
        </w:rPr>
        <w:t>a</w:t>
      </w:r>
      <w:proofErr w:type="spellEnd"/>
      <w:r w:rsidR="008E5B4C">
        <w:rPr>
          <w:rFonts w:cs="Calibri"/>
          <w:b/>
          <w:u w:val="single"/>
        </w:rPr>
        <w:t xml:space="preserve"> calendario.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3C4BC9A" w:rsidR="007D1E76" w:rsidRDefault="0062674B" w:rsidP="00CB41C4">
      <w:pPr>
        <w:tabs>
          <w:tab w:val="left" w:leader="underscore" w:pos="9639"/>
        </w:tabs>
        <w:spacing w:after="0" w:line="240" w:lineRule="auto"/>
        <w:jc w:val="both"/>
        <w:rPr>
          <w:rFonts w:cs="Calibri"/>
        </w:rPr>
      </w:pPr>
      <w:r>
        <w:rPr>
          <w:rFonts w:cs="Calibri"/>
          <w:b/>
          <w:u w:val="single"/>
        </w:rPr>
        <w:t>No se cuenta con deuda pública.</w:t>
      </w:r>
    </w:p>
    <w:p w14:paraId="5D845761" w14:textId="77777777" w:rsidR="0062674B" w:rsidRPr="0062674B" w:rsidRDefault="0062674B"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2E30967B" w:rsidR="007D1E76" w:rsidRPr="00992A55" w:rsidRDefault="00992A55" w:rsidP="00CB41C4">
      <w:pPr>
        <w:tabs>
          <w:tab w:val="left" w:leader="underscore" w:pos="9639"/>
        </w:tabs>
        <w:spacing w:after="0" w:line="240" w:lineRule="auto"/>
        <w:jc w:val="both"/>
        <w:rPr>
          <w:rFonts w:cs="Calibri"/>
          <w:b/>
          <w:u w:val="single"/>
        </w:rPr>
      </w:pPr>
      <w:r>
        <w:rPr>
          <w:rFonts w:cs="Calibri"/>
          <w:b/>
          <w:u w:val="single"/>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49F308C" w:rsidR="007D1E76" w:rsidRPr="00992A55" w:rsidRDefault="00992A55" w:rsidP="00CB41C4">
      <w:pPr>
        <w:tabs>
          <w:tab w:val="left" w:leader="underscore" w:pos="9639"/>
        </w:tabs>
        <w:spacing w:after="0" w:line="240" w:lineRule="auto"/>
        <w:jc w:val="both"/>
        <w:rPr>
          <w:rFonts w:cs="Calibri"/>
          <w:b/>
          <w:u w:val="single"/>
        </w:rPr>
      </w:pPr>
      <w:r>
        <w:rPr>
          <w:rFonts w:cs="Calibri"/>
          <w:b/>
          <w:u w:val="single"/>
        </w:rPr>
        <w:lastRenderedPageBreak/>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2994EB0" w:rsidR="007D1E76" w:rsidRPr="00992A55" w:rsidRDefault="00992A55" w:rsidP="00CB41C4">
      <w:pPr>
        <w:tabs>
          <w:tab w:val="left" w:leader="underscore" w:pos="9639"/>
        </w:tabs>
        <w:spacing w:after="0" w:line="240" w:lineRule="auto"/>
        <w:jc w:val="both"/>
        <w:rPr>
          <w:rFonts w:cs="Calibri"/>
          <w:b/>
          <w:u w:val="single"/>
        </w:rPr>
      </w:pPr>
      <w:r>
        <w:rPr>
          <w:rFonts w:cs="Calibri"/>
          <w:b/>
          <w:u w:val="single"/>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4C0EB46" w:rsidR="007D1E76" w:rsidRPr="00992A55" w:rsidRDefault="00992A55" w:rsidP="00CB41C4">
      <w:pPr>
        <w:tabs>
          <w:tab w:val="left" w:leader="underscore" w:pos="9639"/>
        </w:tabs>
        <w:spacing w:after="0" w:line="240" w:lineRule="auto"/>
        <w:jc w:val="both"/>
        <w:rPr>
          <w:rFonts w:cs="Calibri"/>
          <w:b/>
          <w:u w:val="single"/>
        </w:rPr>
      </w:pPr>
      <w:r>
        <w:rPr>
          <w:rFonts w:cs="Calibri"/>
          <w:b/>
          <w:u w:val="single"/>
        </w:rPr>
        <w:t xml:space="preserve">Se busca realizar previsiones </w:t>
      </w:r>
      <w:r w:rsidR="00CD76CC">
        <w:rPr>
          <w:rFonts w:cs="Calibri"/>
          <w:b/>
          <w:u w:val="single"/>
        </w:rPr>
        <w:t>financieras a fin de contar con recursos disponibles ante eventualidades, así como minimizar y eliminar gastos innecesarios.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1B915B67" w:rsidR="007D1E76" w:rsidRPr="00CD76CC" w:rsidRDefault="00CD76CC" w:rsidP="00CB41C4">
      <w:pPr>
        <w:tabs>
          <w:tab w:val="left" w:leader="underscore" w:pos="9639"/>
        </w:tabs>
        <w:spacing w:after="0" w:line="240" w:lineRule="auto"/>
        <w:jc w:val="both"/>
        <w:rPr>
          <w:rFonts w:cs="Calibri"/>
          <w:b/>
          <w:u w:val="single"/>
        </w:rPr>
      </w:pPr>
      <w:r>
        <w:rPr>
          <w:rFonts w:cs="Calibri"/>
          <w:b/>
          <w:u w:val="single"/>
        </w:rPr>
        <w:t>No existen partes relacionadas que influyan en la toma de decisiones financieras y operativas del ente, sino solamente aquellas que tienen que ver con las disposiciones del Ayuntamiento.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lastRenderedPageBreak/>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C1A44" w14:textId="77777777" w:rsidR="005D20CD" w:rsidRDefault="005D20CD" w:rsidP="00E00323">
      <w:pPr>
        <w:spacing w:after="0" w:line="240" w:lineRule="auto"/>
      </w:pPr>
      <w:r>
        <w:separator/>
      </w:r>
    </w:p>
  </w:endnote>
  <w:endnote w:type="continuationSeparator" w:id="0">
    <w:p w14:paraId="45C3581E" w14:textId="77777777" w:rsidR="005D20CD" w:rsidRDefault="005D20C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453F7" w:rsidRPr="008453F7">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BEB4" w14:textId="77777777" w:rsidR="005D20CD" w:rsidRDefault="005D20CD" w:rsidP="00E00323">
      <w:pPr>
        <w:spacing w:after="0" w:line="240" w:lineRule="auto"/>
      </w:pPr>
      <w:r>
        <w:separator/>
      </w:r>
    </w:p>
  </w:footnote>
  <w:footnote w:type="continuationSeparator" w:id="0">
    <w:p w14:paraId="63664A26" w14:textId="77777777" w:rsidR="005D20CD" w:rsidRDefault="005D20C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530BAD9D" w:rsidR="00154BA3" w:rsidRDefault="004456C2" w:rsidP="00A4610E">
    <w:pPr>
      <w:pStyle w:val="Encabezado"/>
      <w:spacing w:after="0" w:line="240" w:lineRule="auto"/>
      <w:jc w:val="center"/>
    </w:pPr>
    <w:r>
      <w:t>MUNICIPIO DE TIERRA BLANCA, GUANAJUATO.</w:t>
    </w:r>
  </w:p>
  <w:p w14:paraId="651A4C4F" w14:textId="5A912583" w:rsidR="00A4610E" w:rsidRDefault="004456C2" w:rsidP="00A4610E">
    <w:pPr>
      <w:pStyle w:val="Encabezado"/>
      <w:spacing w:after="0" w:line="240" w:lineRule="auto"/>
      <w:jc w:val="center"/>
    </w:pPr>
    <w:r>
      <w:t>CORRESPONDI</w:t>
    </w:r>
    <w:r w:rsidR="00795A04">
      <w:t>E</w:t>
    </w:r>
    <w:r w:rsidR="008453F7">
      <w:t>NTES AL IV</w:t>
    </w:r>
    <w:r>
      <w:t xml:space="preserve"> TRIMESTRE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156F52"/>
    <w:multiLevelType w:val="hybridMultilevel"/>
    <w:tmpl w:val="AE48AD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25675"/>
    <w:rsid w:val="003453CA"/>
    <w:rsid w:val="003966A6"/>
    <w:rsid w:val="00427327"/>
    <w:rsid w:val="00435A87"/>
    <w:rsid w:val="004456C2"/>
    <w:rsid w:val="004A58C8"/>
    <w:rsid w:val="004E150E"/>
    <w:rsid w:val="004F234D"/>
    <w:rsid w:val="0054701E"/>
    <w:rsid w:val="005B5531"/>
    <w:rsid w:val="005D20CD"/>
    <w:rsid w:val="005D3E43"/>
    <w:rsid w:val="005E231E"/>
    <w:rsid w:val="0062674B"/>
    <w:rsid w:val="00657009"/>
    <w:rsid w:val="00681C79"/>
    <w:rsid w:val="00715728"/>
    <w:rsid w:val="0073303E"/>
    <w:rsid w:val="007610BC"/>
    <w:rsid w:val="007714AB"/>
    <w:rsid w:val="00795A04"/>
    <w:rsid w:val="007D1E76"/>
    <w:rsid w:val="007D4484"/>
    <w:rsid w:val="008453F7"/>
    <w:rsid w:val="0086459F"/>
    <w:rsid w:val="008C3BB8"/>
    <w:rsid w:val="008E076C"/>
    <w:rsid w:val="008E5B4C"/>
    <w:rsid w:val="0092765C"/>
    <w:rsid w:val="00992A55"/>
    <w:rsid w:val="00A4610E"/>
    <w:rsid w:val="00A730E0"/>
    <w:rsid w:val="00AA41E5"/>
    <w:rsid w:val="00AB722B"/>
    <w:rsid w:val="00AE1F6A"/>
    <w:rsid w:val="00BE3357"/>
    <w:rsid w:val="00C41843"/>
    <w:rsid w:val="00C9030C"/>
    <w:rsid w:val="00C97E1E"/>
    <w:rsid w:val="00CB41C4"/>
    <w:rsid w:val="00CD76CC"/>
    <w:rsid w:val="00CF1316"/>
    <w:rsid w:val="00D13C44"/>
    <w:rsid w:val="00D23198"/>
    <w:rsid w:val="00D76C8A"/>
    <w:rsid w:val="00D975B1"/>
    <w:rsid w:val="00E00323"/>
    <w:rsid w:val="00E16A3D"/>
    <w:rsid w:val="00E74967"/>
    <w:rsid w:val="00E7559F"/>
    <w:rsid w:val="00E91C60"/>
    <w:rsid w:val="00EA37F5"/>
    <w:rsid w:val="00EA7915"/>
    <w:rsid w:val="00F46719"/>
    <w:rsid w:val="00F54F6F"/>
    <w:rsid w:val="00F627A4"/>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8C4E53-90EB-4BE9-A12C-F71EC9C7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3476</Words>
  <Characters>19121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27</cp:revision>
  <dcterms:created xsi:type="dcterms:W3CDTF">2017-01-12T05:27:00Z</dcterms:created>
  <dcterms:modified xsi:type="dcterms:W3CDTF">2020-02-06T20:25:00Z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