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C0744A4" w14:textId="1ECD1C98" w:rsidR="00F006E9" w:rsidRPr="00F006E9" w:rsidRDefault="00F006E9" w:rsidP="00F006E9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006E9">
        <w:rPr>
          <w:rFonts w:asciiTheme="minorHAnsi" w:hAnsiTheme="minorHAnsi" w:cstheme="minorHAnsi"/>
          <w:sz w:val="28"/>
          <w:szCs w:val="28"/>
        </w:rPr>
        <w:t xml:space="preserve">En el año 2020 no se contó con de esquemas bursátiles y de coberturas financieras </w:t>
      </w:r>
    </w:p>
    <w:p w14:paraId="4DE13041" w14:textId="77777777" w:rsidR="00F006E9" w:rsidRPr="00F006E9" w:rsidRDefault="00F006E9" w:rsidP="00F006E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0C8EA2B" w14:textId="247E80FE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EA2EF" w14:textId="77777777" w:rsidR="00B07A95" w:rsidRDefault="00B07A95" w:rsidP="00564EB9">
      <w:pPr>
        <w:spacing w:after="0" w:line="240" w:lineRule="auto"/>
      </w:pPr>
      <w:r>
        <w:separator/>
      </w:r>
    </w:p>
  </w:endnote>
  <w:endnote w:type="continuationSeparator" w:id="0">
    <w:p w14:paraId="00537589" w14:textId="77777777" w:rsidR="00B07A95" w:rsidRDefault="00B07A9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48308" w14:textId="77777777" w:rsidR="00B07A95" w:rsidRDefault="00B07A95" w:rsidP="00564EB9">
      <w:pPr>
        <w:spacing w:after="0" w:line="240" w:lineRule="auto"/>
      </w:pPr>
      <w:r>
        <w:separator/>
      </w:r>
    </w:p>
  </w:footnote>
  <w:footnote w:type="continuationSeparator" w:id="0">
    <w:p w14:paraId="0CC6FBDD" w14:textId="77777777" w:rsidR="00B07A95" w:rsidRDefault="00B07A9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B07A95"/>
    <w:rsid w:val="00E5357A"/>
    <w:rsid w:val="00F0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6E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4</cp:revision>
  <cp:lastPrinted>2021-02-23T20:04:00Z</cp:lastPrinted>
  <dcterms:created xsi:type="dcterms:W3CDTF">2017-04-17T19:50:00Z</dcterms:created>
  <dcterms:modified xsi:type="dcterms:W3CDTF">2021-02-23T20:08:00Z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